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06378"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1D4AC6C7"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37A2B9B6"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47075D8B" w14:textId="77777777" w:rsidR="003220D3" w:rsidRPr="00E02C33" w:rsidRDefault="003220D3" w:rsidP="00E02C33">
      <w:pPr>
        <w:spacing w:line="480" w:lineRule="auto"/>
        <w:jc w:val="center"/>
        <w:rPr>
          <w:rFonts w:ascii="Times New Roman" w:hAnsi="Times New Roman" w:cs="Times New Roman"/>
          <w:b/>
          <w:bCs/>
          <w:sz w:val="24"/>
          <w:szCs w:val="24"/>
          <w:lang w:val="en-US"/>
        </w:rPr>
      </w:pPr>
      <w:bookmarkStart w:id="0" w:name="_GoBack"/>
      <w:bookmarkEnd w:id="0"/>
    </w:p>
    <w:p w14:paraId="1007D3FC"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42BC7794"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7DCE89AA"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2667C104"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676DC2AA"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3362BC86" w14:textId="51309E8F" w:rsidR="003220D3" w:rsidRPr="00E02C33" w:rsidRDefault="003220D3" w:rsidP="00E02C33">
      <w:pPr>
        <w:spacing w:line="480" w:lineRule="auto"/>
        <w:jc w:val="center"/>
        <w:rPr>
          <w:rFonts w:ascii="Times New Roman" w:hAnsi="Times New Roman" w:cs="Times New Roman"/>
          <w:sz w:val="24"/>
          <w:szCs w:val="24"/>
        </w:rPr>
      </w:pPr>
      <w:r w:rsidRPr="00E02C33">
        <w:rPr>
          <w:rFonts w:ascii="Times New Roman" w:hAnsi="Times New Roman" w:cs="Times New Roman"/>
          <w:sz w:val="24"/>
          <w:szCs w:val="24"/>
        </w:rPr>
        <w:t>Quality Improvement Measures in Healthcare</w:t>
      </w:r>
    </w:p>
    <w:p w14:paraId="5639C73B" w14:textId="55A47433" w:rsidR="003220D3" w:rsidRPr="00E02C33" w:rsidRDefault="003220D3" w:rsidP="00E02C33">
      <w:pPr>
        <w:spacing w:line="480" w:lineRule="auto"/>
        <w:jc w:val="center"/>
        <w:rPr>
          <w:rFonts w:ascii="Times New Roman" w:hAnsi="Times New Roman" w:cs="Times New Roman"/>
          <w:sz w:val="24"/>
          <w:szCs w:val="24"/>
        </w:rPr>
      </w:pPr>
      <w:r w:rsidRPr="00E02C33">
        <w:rPr>
          <w:rFonts w:ascii="Times New Roman" w:hAnsi="Times New Roman" w:cs="Times New Roman"/>
          <w:sz w:val="24"/>
          <w:szCs w:val="24"/>
        </w:rPr>
        <w:t>Name:</w:t>
      </w:r>
    </w:p>
    <w:p w14:paraId="210ABD75" w14:textId="07100CEB" w:rsidR="003220D3" w:rsidRPr="00E02C33" w:rsidRDefault="003220D3" w:rsidP="00E02C33">
      <w:pPr>
        <w:spacing w:line="480" w:lineRule="auto"/>
        <w:jc w:val="center"/>
        <w:rPr>
          <w:rFonts w:ascii="Times New Roman" w:hAnsi="Times New Roman" w:cs="Times New Roman"/>
          <w:sz w:val="24"/>
          <w:szCs w:val="24"/>
        </w:rPr>
      </w:pPr>
      <w:r w:rsidRPr="00E02C33">
        <w:rPr>
          <w:rFonts w:ascii="Times New Roman" w:hAnsi="Times New Roman" w:cs="Times New Roman"/>
          <w:sz w:val="24"/>
          <w:szCs w:val="24"/>
        </w:rPr>
        <w:t>Institution:</w:t>
      </w:r>
    </w:p>
    <w:p w14:paraId="2F4AAAE2" w14:textId="513FA1B9" w:rsidR="003220D3" w:rsidRPr="00E02C33" w:rsidRDefault="003220D3" w:rsidP="00E02C33">
      <w:pPr>
        <w:spacing w:line="480" w:lineRule="auto"/>
        <w:jc w:val="center"/>
        <w:rPr>
          <w:rFonts w:ascii="Times New Roman" w:hAnsi="Times New Roman" w:cs="Times New Roman"/>
          <w:sz w:val="24"/>
          <w:szCs w:val="24"/>
        </w:rPr>
      </w:pPr>
      <w:r w:rsidRPr="00E02C33">
        <w:rPr>
          <w:rFonts w:ascii="Times New Roman" w:hAnsi="Times New Roman" w:cs="Times New Roman"/>
          <w:sz w:val="24"/>
          <w:szCs w:val="24"/>
        </w:rPr>
        <w:t>Date:</w:t>
      </w:r>
    </w:p>
    <w:p w14:paraId="112C24E1" w14:textId="658F8A14" w:rsidR="003220D3" w:rsidRPr="00E02C33" w:rsidRDefault="003220D3" w:rsidP="00E02C33">
      <w:pPr>
        <w:spacing w:line="480" w:lineRule="auto"/>
        <w:jc w:val="center"/>
        <w:rPr>
          <w:rFonts w:ascii="Times New Roman" w:hAnsi="Times New Roman" w:cs="Times New Roman"/>
          <w:sz w:val="24"/>
          <w:szCs w:val="24"/>
        </w:rPr>
      </w:pPr>
    </w:p>
    <w:p w14:paraId="4EB0FFE6" w14:textId="77560433" w:rsidR="003220D3" w:rsidRPr="00E02C33" w:rsidRDefault="003220D3" w:rsidP="00E02C33">
      <w:pPr>
        <w:spacing w:line="480" w:lineRule="auto"/>
        <w:jc w:val="center"/>
        <w:rPr>
          <w:rFonts w:ascii="Times New Roman" w:hAnsi="Times New Roman" w:cs="Times New Roman"/>
          <w:sz w:val="24"/>
          <w:szCs w:val="24"/>
        </w:rPr>
      </w:pPr>
    </w:p>
    <w:p w14:paraId="39EC1D14" w14:textId="3224482E" w:rsidR="003220D3" w:rsidRPr="00E02C33" w:rsidRDefault="003220D3" w:rsidP="00E02C33">
      <w:pPr>
        <w:spacing w:line="480" w:lineRule="auto"/>
        <w:jc w:val="center"/>
        <w:rPr>
          <w:rFonts w:ascii="Times New Roman" w:hAnsi="Times New Roman" w:cs="Times New Roman"/>
          <w:sz w:val="24"/>
          <w:szCs w:val="24"/>
        </w:rPr>
      </w:pPr>
    </w:p>
    <w:p w14:paraId="34F1E43A" w14:textId="3ECD64E7" w:rsidR="003220D3" w:rsidRPr="00E02C33" w:rsidRDefault="003220D3" w:rsidP="00E02C33">
      <w:pPr>
        <w:spacing w:line="480" w:lineRule="auto"/>
        <w:jc w:val="center"/>
        <w:rPr>
          <w:rFonts w:ascii="Times New Roman" w:hAnsi="Times New Roman" w:cs="Times New Roman"/>
          <w:sz w:val="24"/>
          <w:szCs w:val="24"/>
        </w:rPr>
      </w:pPr>
    </w:p>
    <w:p w14:paraId="68A4D7F8" w14:textId="16FE2E12" w:rsidR="003220D3" w:rsidRPr="00E02C33" w:rsidRDefault="003220D3" w:rsidP="00E02C33">
      <w:pPr>
        <w:spacing w:line="480" w:lineRule="auto"/>
        <w:jc w:val="center"/>
        <w:rPr>
          <w:rFonts w:ascii="Times New Roman" w:hAnsi="Times New Roman" w:cs="Times New Roman"/>
          <w:sz w:val="24"/>
          <w:szCs w:val="24"/>
        </w:rPr>
      </w:pPr>
    </w:p>
    <w:p w14:paraId="303A2E60" w14:textId="4311D771" w:rsidR="003220D3" w:rsidRPr="00E02C33" w:rsidRDefault="003220D3" w:rsidP="00E02C33">
      <w:pPr>
        <w:spacing w:line="480" w:lineRule="auto"/>
        <w:jc w:val="center"/>
        <w:rPr>
          <w:rFonts w:ascii="Times New Roman" w:hAnsi="Times New Roman" w:cs="Times New Roman"/>
          <w:sz w:val="24"/>
          <w:szCs w:val="24"/>
        </w:rPr>
      </w:pPr>
    </w:p>
    <w:p w14:paraId="1E82D73B" w14:textId="77777777" w:rsidR="003220D3" w:rsidRPr="00E02C33" w:rsidRDefault="003220D3" w:rsidP="00E02C33">
      <w:pPr>
        <w:spacing w:line="480" w:lineRule="auto"/>
        <w:jc w:val="center"/>
        <w:rPr>
          <w:rFonts w:ascii="Times New Roman" w:hAnsi="Times New Roman" w:cs="Times New Roman"/>
          <w:b/>
          <w:bCs/>
          <w:sz w:val="24"/>
          <w:szCs w:val="24"/>
          <w:lang w:val="en-US"/>
        </w:rPr>
      </w:pPr>
    </w:p>
    <w:p w14:paraId="2C0D4B98" w14:textId="4B666CA4" w:rsidR="005E5E23" w:rsidRPr="00E02C33" w:rsidRDefault="005E5E23" w:rsidP="00E02C33">
      <w:pPr>
        <w:spacing w:line="480" w:lineRule="auto"/>
        <w:jc w:val="center"/>
        <w:rPr>
          <w:rFonts w:ascii="Times New Roman" w:hAnsi="Times New Roman" w:cs="Times New Roman"/>
          <w:b/>
          <w:bCs/>
          <w:sz w:val="24"/>
          <w:szCs w:val="24"/>
          <w:lang w:val="en-US"/>
        </w:rPr>
      </w:pPr>
      <w:r w:rsidRPr="00E02C33">
        <w:rPr>
          <w:rFonts w:ascii="Times New Roman" w:hAnsi="Times New Roman" w:cs="Times New Roman"/>
          <w:b/>
          <w:bCs/>
          <w:sz w:val="24"/>
          <w:szCs w:val="24"/>
          <w:lang w:val="en-US"/>
        </w:rPr>
        <w:lastRenderedPageBreak/>
        <w:t>Abstract</w:t>
      </w:r>
    </w:p>
    <w:p w14:paraId="1D15A70F" w14:textId="77777777" w:rsidR="00E02C33" w:rsidRPr="00E02C33" w:rsidRDefault="00E02C33" w:rsidP="00E02C33">
      <w:pPr>
        <w:pStyle w:val="NormalWeb"/>
        <w:spacing w:before="0" w:beforeAutospacing="0" w:after="0" w:afterAutospacing="0" w:line="480" w:lineRule="auto"/>
        <w:ind w:firstLine="720"/>
        <w:rPr>
          <w:color w:val="0E101A"/>
        </w:rPr>
      </w:pPr>
      <w:r w:rsidRPr="00E02C33">
        <w:rPr>
          <w:color w:val="0E101A"/>
        </w:rPr>
        <w:t>Quality improvement permeates a large percentage of service providers across the world. The main objective of this approach is to increase the likelihood for individuals to acquire desired health outcomes. Unfortunately, the industry faces numerous challenges, including clinical variations, hospital-acquired infections, and preventable errors among others. To tackle these problems, healthcare facilities need to be more innovative than ever before. Organizations must first understand their key process and delivery systems for it to embark on quality improvement. Facilities also ought to approach improvement by addressing both inputs and processes to achieve the desired outcomes. Over time, analysts have suggested several models for measuring quality improvement in healthcare. Of these, the Donabedian model has gained outstanding recognition in the industry. Donabedian outlined a model with three components namely outcome, process, and structure measures. A fourth has since been added to create a balance among the three. This paper evaluates the four models and their effectiveness in quality improvement. </w:t>
      </w:r>
    </w:p>
    <w:p w14:paraId="478B2327" w14:textId="77777777" w:rsidR="00E02C33" w:rsidRPr="00E02C33" w:rsidRDefault="00E02C33" w:rsidP="00E02C33">
      <w:pPr>
        <w:pStyle w:val="NormalWeb"/>
        <w:spacing w:before="0" w:beforeAutospacing="0" w:after="0" w:afterAutospacing="0" w:line="480" w:lineRule="auto"/>
        <w:rPr>
          <w:color w:val="0E101A"/>
        </w:rPr>
      </w:pPr>
    </w:p>
    <w:p w14:paraId="3FD06915" w14:textId="77777777" w:rsidR="00E02C33" w:rsidRPr="00E02C33" w:rsidRDefault="00E02C33" w:rsidP="00E02C33">
      <w:pPr>
        <w:pStyle w:val="NormalWeb"/>
        <w:spacing w:before="0" w:beforeAutospacing="0" w:after="0" w:afterAutospacing="0" w:line="480" w:lineRule="auto"/>
        <w:rPr>
          <w:color w:val="0E101A"/>
        </w:rPr>
      </w:pPr>
    </w:p>
    <w:p w14:paraId="395C2345" w14:textId="77777777" w:rsidR="00E02C33" w:rsidRPr="00E02C33" w:rsidRDefault="00E02C33" w:rsidP="00E02C33">
      <w:pPr>
        <w:pStyle w:val="NormalWeb"/>
        <w:spacing w:before="0" w:beforeAutospacing="0" w:after="0" w:afterAutospacing="0" w:line="480" w:lineRule="auto"/>
        <w:rPr>
          <w:color w:val="0E101A"/>
        </w:rPr>
      </w:pPr>
    </w:p>
    <w:p w14:paraId="1EC1E356" w14:textId="77777777" w:rsidR="00E02C33" w:rsidRPr="00E02C33" w:rsidRDefault="00E02C33" w:rsidP="00E02C33">
      <w:pPr>
        <w:pStyle w:val="NormalWeb"/>
        <w:spacing w:before="0" w:beforeAutospacing="0" w:after="0" w:afterAutospacing="0" w:line="480" w:lineRule="auto"/>
        <w:rPr>
          <w:color w:val="0E101A"/>
        </w:rPr>
      </w:pPr>
    </w:p>
    <w:p w14:paraId="0F3B28D8" w14:textId="77777777" w:rsidR="00E02C33" w:rsidRPr="00E02C33" w:rsidRDefault="00E02C33" w:rsidP="00E02C33">
      <w:pPr>
        <w:pStyle w:val="NormalWeb"/>
        <w:spacing w:before="0" w:beforeAutospacing="0" w:after="0" w:afterAutospacing="0" w:line="480" w:lineRule="auto"/>
        <w:rPr>
          <w:color w:val="0E101A"/>
        </w:rPr>
      </w:pPr>
    </w:p>
    <w:p w14:paraId="6B9AAEB3" w14:textId="77777777" w:rsidR="00E02C33" w:rsidRPr="00E02C33" w:rsidRDefault="00E02C33" w:rsidP="00E02C33">
      <w:pPr>
        <w:pStyle w:val="NormalWeb"/>
        <w:spacing w:before="0" w:beforeAutospacing="0" w:after="0" w:afterAutospacing="0" w:line="480" w:lineRule="auto"/>
        <w:rPr>
          <w:color w:val="0E101A"/>
        </w:rPr>
      </w:pPr>
    </w:p>
    <w:p w14:paraId="282CE6C4" w14:textId="77777777" w:rsidR="00E02C33" w:rsidRPr="00E02C33" w:rsidRDefault="00E02C33" w:rsidP="00E02C33">
      <w:pPr>
        <w:pStyle w:val="NormalWeb"/>
        <w:spacing w:before="0" w:beforeAutospacing="0" w:after="0" w:afterAutospacing="0" w:line="480" w:lineRule="auto"/>
        <w:rPr>
          <w:color w:val="0E101A"/>
        </w:rPr>
      </w:pPr>
    </w:p>
    <w:p w14:paraId="5D9DA9AB" w14:textId="77777777" w:rsidR="00E02C33" w:rsidRPr="00E02C33" w:rsidRDefault="00E02C33" w:rsidP="00E02C33">
      <w:pPr>
        <w:pStyle w:val="NormalWeb"/>
        <w:spacing w:before="0" w:beforeAutospacing="0" w:after="0" w:afterAutospacing="0" w:line="480" w:lineRule="auto"/>
        <w:rPr>
          <w:color w:val="0E101A"/>
        </w:rPr>
      </w:pPr>
    </w:p>
    <w:p w14:paraId="333E47DB" w14:textId="77777777" w:rsidR="00E02C33" w:rsidRPr="00E02C33" w:rsidRDefault="00E02C33" w:rsidP="00E02C33">
      <w:pPr>
        <w:spacing w:line="480" w:lineRule="auto"/>
        <w:rPr>
          <w:rFonts w:ascii="Times New Roman" w:eastAsia="Times New Roman" w:hAnsi="Times New Roman" w:cs="Times New Roman"/>
          <w:b/>
          <w:bCs/>
          <w:color w:val="0E101A"/>
          <w:sz w:val="24"/>
          <w:szCs w:val="24"/>
          <w:lang w:val="en-KE" w:eastAsia="en-KE"/>
        </w:rPr>
      </w:pPr>
      <w:r w:rsidRPr="00E02C33">
        <w:rPr>
          <w:rFonts w:ascii="Times New Roman" w:hAnsi="Times New Roman" w:cs="Times New Roman"/>
          <w:b/>
          <w:bCs/>
          <w:color w:val="0E101A"/>
          <w:sz w:val="24"/>
          <w:szCs w:val="24"/>
        </w:rPr>
        <w:br w:type="page"/>
      </w:r>
    </w:p>
    <w:p w14:paraId="0482F55E" w14:textId="391D471F" w:rsidR="00E02C33" w:rsidRPr="00E02C33" w:rsidRDefault="00E02C33" w:rsidP="00E02C33">
      <w:pPr>
        <w:pStyle w:val="NormalWeb"/>
        <w:spacing w:before="0" w:beforeAutospacing="0" w:after="0" w:afterAutospacing="0" w:line="480" w:lineRule="auto"/>
        <w:jc w:val="center"/>
        <w:rPr>
          <w:b/>
          <w:bCs/>
          <w:color w:val="0E101A"/>
        </w:rPr>
      </w:pPr>
      <w:r w:rsidRPr="00E02C33">
        <w:rPr>
          <w:b/>
          <w:bCs/>
          <w:color w:val="0E101A"/>
        </w:rPr>
        <w:lastRenderedPageBreak/>
        <w:t>Quality Improvement Measures in Healthcare</w:t>
      </w:r>
    </w:p>
    <w:p w14:paraId="2F0BCE5F" w14:textId="77777777" w:rsidR="00E02C33" w:rsidRPr="00E02C33" w:rsidRDefault="00E02C33" w:rsidP="00E02C33">
      <w:pPr>
        <w:pStyle w:val="NormalWeb"/>
        <w:spacing w:before="0" w:beforeAutospacing="0" w:after="0" w:afterAutospacing="0" w:line="480" w:lineRule="auto"/>
        <w:jc w:val="center"/>
        <w:rPr>
          <w:b/>
          <w:bCs/>
          <w:color w:val="0E101A"/>
        </w:rPr>
      </w:pPr>
      <w:r w:rsidRPr="00E02C33">
        <w:rPr>
          <w:b/>
          <w:bCs/>
          <w:color w:val="0E101A"/>
        </w:rPr>
        <w:t>Introduction</w:t>
      </w:r>
    </w:p>
    <w:p w14:paraId="72F8E754" w14:textId="77777777" w:rsidR="00E02C33" w:rsidRPr="00E02C33" w:rsidRDefault="00E02C33" w:rsidP="00E02C33">
      <w:pPr>
        <w:pStyle w:val="NormalWeb"/>
        <w:spacing w:before="0" w:beforeAutospacing="0" w:after="0" w:afterAutospacing="0" w:line="480" w:lineRule="auto"/>
        <w:rPr>
          <w:color w:val="0E101A"/>
        </w:rPr>
      </w:pPr>
      <w:r w:rsidRPr="00E02C33">
        <w:rPr>
          <w:color w:val="0E101A"/>
        </w:rPr>
        <w:t>At no other time in history have healthcare facilities sought to improve the quality of their services as they are today. With client expectations and competition soaring by the day, healthcare facilities have no option but to invest in quality improvement. Traditionally, the main focus has been on patient satisfaction and reducing the cost of healthcare. However, this unbalanced approach is fast proving ineffective. To meet the diverse expectations in healthcare, practitioners need to employ a more balanced approach to improve the quality of services offered. The solution to this challenge lies in the Donabedian model. </w:t>
      </w:r>
    </w:p>
    <w:p w14:paraId="51CF7308" w14:textId="77777777" w:rsidR="00E02C33" w:rsidRPr="00E02C33" w:rsidRDefault="00E02C33" w:rsidP="00E02C33">
      <w:pPr>
        <w:pStyle w:val="NormalWeb"/>
        <w:spacing w:before="0" w:beforeAutospacing="0" w:after="0" w:afterAutospacing="0" w:line="480" w:lineRule="auto"/>
        <w:jc w:val="center"/>
        <w:rPr>
          <w:b/>
          <w:bCs/>
          <w:color w:val="0E101A"/>
        </w:rPr>
      </w:pPr>
      <w:r w:rsidRPr="00E02C33">
        <w:rPr>
          <w:b/>
          <w:bCs/>
          <w:color w:val="0E101A"/>
        </w:rPr>
        <w:t>Outcome Measures</w:t>
      </w:r>
    </w:p>
    <w:p w14:paraId="1E7CDAF1" w14:textId="77777777" w:rsidR="00E02C33" w:rsidRPr="00E02C33" w:rsidRDefault="00E02C33" w:rsidP="00E02C33">
      <w:pPr>
        <w:pStyle w:val="NormalWeb"/>
        <w:spacing w:before="0" w:beforeAutospacing="0" w:after="0" w:afterAutospacing="0" w:line="480" w:lineRule="auto"/>
        <w:rPr>
          <w:color w:val="0E101A"/>
        </w:rPr>
      </w:pPr>
      <w:r w:rsidRPr="00E02C33">
        <w:rPr>
          <w:color w:val="0E101A"/>
        </w:rPr>
        <w:t xml:space="preserve">Outcome measures refer to the indicators that define changes in the health of patients after the administration of an intervention. Commonly used outcome measures include patient experience, readmission, and mortality rate, among others (Ibn, </w:t>
      </w:r>
      <w:proofErr w:type="spellStart"/>
      <w:r w:rsidRPr="00E02C33">
        <w:rPr>
          <w:color w:val="0E101A"/>
        </w:rPr>
        <w:t>Lamrini</w:t>
      </w:r>
      <w:proofErr w:type="spellEnd"/>
      <w:r w:rsidRPr="00E02C33">
        <w:rPr>
          <w:color w:val="0E101A"/>
        </w:rPr>
        <w:t xml:space="preserve">, and </w:t>
      </w:r>
      <w:proofErr w:type="spellStart"/>
      <w:r w:rsidRPr="00E02C33">
        <w:rPr>
          <w:color w:val="0E101A"/>
        </w:rPr>
        <w:t>Rais</w:t>
      </w:r>
      <w:proofErr w:type="spellEnd"/>
      <w:r w:rsidRPr="00E02C33">
        <w:rPr>
          <w:color w:val="0E101A"/>
        </w:rPr>
        <w:t>, 2013). Healthcare facilities are required to report their outcome measures to governmental agencies. Some of the national organizations involved in setting outcome measures include the Joint Commission, the CMS, and NAHQ. </w:t>
      </w:r>
    </w:p>
    <w:p w14:paraId="36E80BA5" w14:textId="77777777" w:rsidR="00E02C33" w:rsidRPr="00E02C33" w:rsidRDefault="00E02C33" w:rsidP="00E02C33">
      <w:pPr>
        <w:pStyle w:val="NormalWeb"/>
        <w:spacing w:before="0" w:beforeAutospacing="0" w:after="0" w:afterAutospacing="0" w:line="480" w:lineRule="auto"/>
        <w:rPr>
          <w:color w:val="0E101A"/>
        </w:rPr>
      </w:pPr>
      <w:r w:rsidRPr="00E02C33">
        <w:rPr>
          <w:rStyle w:val="Strong"/>
          <w:color w:val="0E101A"/>
        </w:rPr>
        <w:t>1. Mortality rate</w:t>
      </w:r>
      <w:r w:rsidRPr="00E02C33">
        <w:rPr>
          <w:color w:val="0E101A"/>
        </w:rPr>
        <w:t> – this is a quantitative measure that gives an account of the percentage of deaths in a given population. Mortality rates may be distributed over age groups such as infants, children, adolescents, and adults. Alternatively, mortality rates may be calculated depending on the cause of death. A 60 per cent reduction in the cancer mortality rate indicates an improvement in the management of cancer. </w:t>
      </w:r>
    </w:p>
    <w:p w14:paraId="7F138657" w14:textId="77777777" w:rsidR="00E02C33" w:rsidRPr="00E02C33" w:rsidRDefault="00E02C33" w:rsidP="00E02C33">
      <w:pPr>
        <w:pStyle w:val="NormalWeb"/>
        <w:spacing w:before="0" w:beforeAutospacing="0" w:after="0" w:afterAutospacing="0" w:line="480" w:lineRule="auto"/>
        <w:rPr>
          <w:color w:val="0E101A"/>
        </w:rPr>
      </w:pPr>
      <w:r w:rsidRPr="00E02C33">
        <w:rPr>
          <w:rStyle w:val="Strong"/>
          <w:color w:val="0E101A"/>
        </w:rPr>
        <w:t>2. Readmissions</w:t>
      </w:r>
      <w:r w:rsidRPr="00E02C33">
        <w:rPr>
          <w:color w:val="0E101A"/>
        </w:rPr>
        <w:t> – the rate of readmissions after hospitalization is a useful quantitative measure in healthcare. High readmissions could indicate deterioration in healthcare and often results in high expenditures. Healthcare facilities should increase efforts to reduce the rate of readmissions. </w:t>
      </w:r>
    </w:p>
    <w:p w14:paraId="2B15A9CC" w14:textId="77777777" w:rsidR="00E02C33" w:rsidRPr="00E02C33" w:rsidRDefault="00E02C33" w:rsidP="00E02C33">
      <w:pPr>
        <w:pStyle w:val="NormalWeb"/>
        <w:spacing w:before="0" w:beforeAutospacing="0" w:after="0" w:afterAutospacing="0" w:line="480" w:lineRule="auto"/>
        <w:rPr>
          <w:color w:val="0E101A"/>
        </w:rPr>
      </w:pPr>
      <w:r w:rsidRPr="00E02C33">
        <w:rPr>
          <w:rStyle w:val="Strong"/>
          <w:color w:val="0E101A"/>
        </w:rPr>
        <w:lastRenderedPageBreak/>
        <w:t>3. Safety of care</w:t>
      </w:r>
      <w:r w:rsidRPr="00E02C33">
        <w:rPr>
          <w:color w:val="0E101A"/>
        </w:rPr>
        <w:t xml:space="preserve"> – this is also a quantitative measure that reflects on the quality of health care. Common indicators of safety include hospital-acquired infections and skin breakdown. </w:t>
      </w:r>
      <w:proofErr w:type="spellStart"/>
      <w:r w:rsidRPr="00E02C33">
        <w:rPr>
          <w:color w:val="0E101A"/>
        </w:rPr>
        <w:t>HAIs</w:t>
      </w:r>
      <w:proofErr w:type="spellEnd"/>
      <w:r w:rsidRPr="00E02C33">
        <w:rPr>
          <w:color w:val="0E101A"/>
        </w:rPr>
        <w:t xml:space="preserve"> are common among viral diseases such as flu and coronavirus. Skin breakdown refers to a situation of low blood flow to the skin as a result of dropped pressure. </w:t>
      </w:r>
    </w:p>
    <w:p w14:paraId="791FCA0D" w14:textId="77777777" w:rsidR="00E02C33" w:rsidRPr="00E02C33" w:rsidRDefault="00E02C33" w:rsidP="00E02C33">
      <w:pPr>
        <w:pStyle w:val="NormalWeb"/>
        <w:spacing w:before="0" w:beforeAutospacing="0" w:after="0" w:afterAutospacing="0" w:line="480" w:lineRule="auto"/>
        <w:rPr>
          <w:color w:val="0E101A"/>
        </w:rPr>
      </w:pPr>
      <w:r w:rsidRPr="00E02C33">
        <w:rPr>
          <w:rStyle w:val="Strong"/>
          <w:color w:val="0E101A"/>
        </w:rPr>
        <w:t>4. Patient Experience </w:t>
      </w:r>
      <w:r w:rsidRPr="00E02C33">
        <w:rPr>
          <w:color w:val="0E101A"/>
        </w:rPr>
        <w:t>- this is a qualitative measure aimed at gauging the overall satisfaction of patients. Interviews and questionnaires and surveys may be used to capture the perception of patients on the quality of healthcare received. </w:t>
      </w:r>
    </w:p>
    <w:p w14:paraId="539757D9" w14:textId="77777777" w:rsidR="00E02C33" w:rsidRPr="00E02C33" w:rsidRDefault="00E02C33" w:rsidP="00E02C33">
      <w:pPr>
        <w:pStyle w:val="NormalWeb"/>
        <w:spacing w:before="0" w:beforeAutospacing="0" w:after="0" w:afterAutospacing="0" w:line="480" w:lineRule="auto"/>
        <w:jc w:val="center"/>
        <w:rPr>
          <w:b/>
          <w:bCs/>
          <w:color w:val="0E101A"/>
        </w:rPr>
      </w:pPr>
      <w:r w:rsidRPr="00E02C33">
        <w:rPr>
          <w:b/>
          <w:bCs/>
          <w:color w:val="0E101A"/>
        </w:rPr>
        <w:t>Process Measures</w:t>
      </w:r>
    </w:p>
    <w:p w14:paraId="7011F4DF" w14:textId="77777777" w:rsidR="00E02C33" w:rsidRPr="00E02C33" w:rsidRDefault="00E02C33" w:rsidP="00E02C33">
      <w:pPr>
        <w:pStyle w:val="NormalWeb"/>
        <w:spacing w:before="0" w:beforeAutospacing="0" w:after="0" w:afterAutospacing="0" w:line="480" w:lineRule="auto"/>
        <w:ind w:firstLine="720"/>
        <w:rPr>
          <w:color w:val="0E101A"/>
        </w:rPr>
      </w:pPr>
      <w:r w:rsidRPr="00E02C33">
        <w:rPr>
          <w:color w:val="0E101A"/>
        </w:rPr>
        <w:t>Healthcare facilities use process measures to gauge their progress towards the realization of set goals. Data collected thereof is not only used for quality improvement but also external reporting. For instance, the time a patient waits in the queue before being served is a reflection of the efficiency of the facility. Common process indicators include washing of hands by staff, adherence to standards of care, and proper recording of patient incidences. </w:t>
      </w:r>
    </w:p>
    <w:p w14:paraId="7BEC156E" w14:textId="77777777" w:rsidR="00E02C33" w:rsidRPr="00E02C33" w:rsidRDefault="00E02C33" w:rsidP="00E02C33">
      <w:pPr>
        <w:pStyle w:val="NormalWeb"/>
        <w:spacing w:before="0" w:beforeAutospacing="0" w:after="0" w:afterAutospacing="0" w:line="480" w:lineRule="auto"/>
        <w:rPr>
          <w:color w:val="0E101A"/>
        </w:rPr>
      </w:pPr>
      <w:r w:rsidRPr="00E02C33">
        <w:rPr>
          <w:color w:val="0E101A"/>
        </w:rPr>
        <w:t>Process measures help to answer if the right systems were followed as planned. Healthcare officials can rely on these measures to evaluate if they are on track in their efforts to initiate change (</w:t>
      </w:r>
      <w:proofErr w:type="spellStart"/>
      <w:r w:rsidRPr="00E02C33">
        <w:rPr>
          <w:color w:val="0E101A"/>
        </w:rPr>
        <w:t>Lilford</w:t>
      </w:r>
      <w:proofErr w:type="spellEnd"/>
      <w:r w:rsidRPr="00E02C33">
        <w:rPr>
          <w:color w:val="0E101A"/>
        </w:rPr>
        <w:t xml:space="preserve">, Brown, and Nicholl, 2007). For instance, medics may evaluate if </w:t>
      </w:r>
      <w:proofErr w:type="spellStart"/>
      <w:r w:rsidRPr="00E02C33">
        <w:rPr>
          <w:color w:val="0E101A"/>
        </w:rPr>
        <w:t>hemoglobin</w:t>
      </w:r>
      <w:proofErr w:type="spellEnd"/>
      <w:r w:rsidRPr="00E02C33">
        <w:rPr>
          <w:color w:val="0E101A"/>
        </w:rPr>
        <w:t xml:space="preserve"> levels of diabetes patients are being measured correctly. Another process measure would be to evaluate the total hours a clinician avails to patients. All selected process measures must be clinically and scientifically accepted. As an example, patients with femur fractures should receive surgery within 24 hours to prevent further deterioration of the condition.  </w:t>
      </w:r>
    </w:p>
    <w:p w14:paraId="2AFF1812" w14:textId="77777777" w:rsidR="00E02C33" w:rsidRPr="00E02C33" w:rsidRDefault="00E02C33" w:rsidP="00E02C33">
      <w:pPr>
        <w:pStyle w:val="NormalWeb"/>
        <w:spacing w:before="0" w:beforeAutospacing="0" w:after="0" w:afterAutospacing="0" w:line="480" w:lineRule="auto"/>
        <w:jc w:val="center"/>
        <w:rPr>
          <w:b/>
          <w:bCs/>
          <w:color w:val="0E101A"/>
        </w:rPr>
      </w:pPr>
      <w:r w:rsidRPr="00E02C33">
        <w:rPr>
          <w:b/>
          <w:bCs/>
          <w:color w:val="0E101A"/>
        </w:rPr>
        <w:t>Structure Measures</w:t>
      </w:r>
    </w:p>
    <w:p w14:paraId="174B2ECD" w14:textId="77777777" w:rsidR="00E02C33" w:rsidRPr="00E02C33" w:rsidRDefault="00E02C33" w:rsidP="00E02C33">
      <w:pPr>
        <w:pStyle w:val="NormalWeb"/>
        <w:spacing w:before="0" w:beforeAutospacing="0" w:after="0" w:afterAutospacing="0" w:line="480" w:lineRule="auto"/>
        <w:ind w:firstLine="720"/>
        <w:rPr>
          <w:color w:val="0E101A"/>
        </w:rPr>
      </w:pPr>
      <w:r w:rsidRPr="00E02C33">
        <w:rPr>
          <w:color w:val="0E101A"/>
        </w:rPr>
        <w:t xml:space="preserve">These are concrete measures that reflect the attributes of the healthcare facility. For instance, staff to patient ratios could reflect the quality of healthcare offered. These measures improve the attractiveness of a facility as well as an overall sense of satisfaction among </w:t>
      </w:r>
      <w:r w:rsidRPr="00E02C33">
        <w:rPr>
          <w:color w:val="0E101A"/>
        </w:rPr>
        <w:lastRenderedPageBreak/>
        <w:t>patients. A good example is the case of a healthcare facility that has specialty professionals operating 24 hours a day. </w:t>
      </w:r>
    </w:p>
    <w:p w14:paraId="3A4F3428" w14:textId="77777777" w:rsidR="00E02C33" w:rsidRPr="00E02C33" w:rsidRDefault="00E02C33" w:rsidP="00E02C33">
      <w:pPr>
        <w:pStyle w:val="NormalWeb"/>
        <w:spacing w:before="0" w:beforeAutospacing="0" w:after="0" w:afterAutospacing="0" w:line="480" w:lineRule="auto"/>
        <w:rPr>
          <w:color w:val="0E101A"/>
        </w:rPr>
      </w:pPr>
      <w:r w:rsidRPr="00E02C33">
        <w:rPr>
          <w:color w:val="0E101A"/>
        </w:rPr>
        <w:t xml:space="preserve">Some of the measure’s worth considering include the proportion of certified professionals and the use of electronic medical records (Ibn, </w:t>
      </w:r>
      <w:proofErr w:type="spellStart"/>
      <w:r w:rsidRPr="00E02C33">
        <w:rPr>
          <w:color w:val="0E101A"/>
        </w:rPr>
        <w:t>Lamrini</w:t>
      </w:r>
      <w:proofErr w:type="spellEnd"/>
      <w:r w:rsidRPr="00E02C33">
        <w:rPr>
          <w:color w:val="0E101A"/>
        </w:rPr>
        <w:t xml:space="preserve">, and </w:t>
      </w:r>
      <w:proofErr w:type="spellStart"/>
      <w:r w:rsidRPr="00E02C33">
        <w:rPr>
          <w:color w:val="0E101A"/>
        </w:rPr>
        <w:t>Rais</w:t>
      </w:r>
      <w:proofErr w:type="spellEnd"/>
      <w:r w:rsidRPr="00E02C33">
        <w:rPr>
          <w:color w:val="0E101A"/>
        </w:rPr>
        <w:t>, 2013). A clinic that specializes in a particular type of care may also be more attractive to patients than general-service facilities. Incentivizing caregivers who demonstrate outstanding performances also improves the attractiveness of healthcare facilities. </w:t>
      </w:r>
    </w:p>
    <w:p w14:paraId="0B90B987" w14:textId="77777777" w:rsidR="00E02C33" w:rsidRPr="00E02C33" w:rsidRDefault="00E02C33" w:rsidP="00E02C33">
      <w:pPr>
        <w:pStyle w:val="NormalWeb"/>
        <w:spacing w:before="0" w:beforeAutospacing="0" w:after="0" w:afterAutospacing="0" w:line="480" w:lineRule="auto"/>
        <w:jc w:val="center"/>
        <w:rPr>
          <w:b/>
          <w:bCs/>
          <w:color w:val="0E101A"/>
        </w:rPr>
      </w:pPr>
      <w:r w:rsidRPr="00E02C33">
        <w:rPr>
          <w:b/>
          <w:bCs/>
          <w:color w:val="0E101A"/>
        </w:rPr>
        <w:t>Balance Measures</w:t>
      </w:r>
    </w:p>
    <w:p w14:paraId="4A2A1F19" w14:textId="77777777" w:rsidR="00E02C33" w:rsidRPr="00E02C33" w:rsidRDefault="00E02C33" w:rsidP="00E02C33">
      <w:pPr>
        <w:pStyle w:val="NormalWeb"/>
        <w:spacing w:before="0" w:beforeAutospacing="0" w:after="0" w:afterAutospacing="0" w:line="480" w:lineRule="auto"/>
        <w:ind w:firstLine="720"/>
        <w:rPr>
          <w:color w:val="0E101A"/>
        </w:rPr>
      </w:pPr>
      <w:r w:rsidRPr="00E02C33">
        <w:rPr>
          <w:color w:val="0E101A"/>
        </w:rPr>
        <w:t>Balance measures are metrics that determine the relationship between different quality measures. As the name suggests, balance metrics ensure that improvements on one measure do not affect another measure negatively. For instance, a hospital may plan to reduce the length of stay of patients but this could result in reduced patient satisfaction. In another case, reducing the length of stay may result in an increased rate of readmissions. </w:t>
      </w:r>
    </w:p>
    <w:p w14:paraId="4CF7DE9E" w14:textId="77777777" w:rsidR="00E02C33" w:rsidRPr="00E02C33" w:rsidRDefault="00E02C33" w:rsidP="00E02C33">
      <w:pPr>
        <w:pStyle w:val="NormalWeb"/>
        <w:spacing w:before="0" w:beforeAutospacing="0" w:after="0" w:afterAutospacing="0" w:line="480" w:lineRule="auto"/>
        <w:rPr>
          <w:color w:val="0E101A"/>
        </w:rPr>
      </w:pPr>
      <w:r w:rsidRPr="00E02C33">
        <w:rPr>
          <w:color w:val="0E101A"/>
        </w:rPr>
        <w:t>Balance measures are mainly used as validators of the other measures. Evaluators may use these measures to determine if proper clinical care was observed in institutionalizing outcome, process or structure measures. </w:t>
      </w:r>
    </w:p>
    <w:p w14:paraId="74C8593B" w14:textId="77777777" w:rsidR="00E02C33" w:rsidRPr="00E02C33" w:rsidRDefault="00E02C33" w:rsidP="00E02C33">
      <w:pPr>
        <w:pStyle w:val="NormalWeb"/>
        <w:spacing w:before="0" w:beforeAutospacing="0" w:after="0" w:afterAutospacing="0" w:line="480" w:lineRule="auto"/>
        <w:rPr>
          <w:color w:val="0E101A"/>
        </w:rPr>
      </w:pPr>
    </w:p>
    <w:p w14:paraId="45142E82" w14:textId="77777777" w:rsidR="00E02C33" w:rsidRPr="00E02C33" w:rsidRDefault="00E02C33" w:rsidP="00E02C33">
      <w:pPr>
        <w:pStyle w:val="NormalWeb"/>
        <w:spacing w:before="0" w:beforeAutospacing="0" w:after="0" w:afterAutospacing="0" w:line="480" w:lineRule="auto"/>
        <w:jc w:val="center"/>
        <w:rPr>
          <w:b/>
          <w:bCs/>
          <w:color w:val="0E101A"/>
        </w:rPr>
      </w:pPr>
      <w:r w:rsidRPr="00E02C33">
        <w:rPr>
          <w:b/>
          <w:bCs/>
          <w:color w:val="0E101A"/>
        </w:rPr>
        <w:t>Conclusion</w:t>
      </w:r>
    </w:p>
    <w:p w14:paraId="324917A8" w14:textId="77777777" w:rsidR="00E02C33" w:rsidRPr="00E02C33" w:rsidRDefault="00E02C33" w:rsidP="00E02C33">
      <w:pPr>
        <w:pStyle w:val="NormalWeb"/>
        <w:spacing w:before="0" w:beforeAutospacing="0" w:after="0" w:afterAutospacing="0" w:line="480" w:lineRule="auto"/>
        <w:ind w:firstLine="720"/>
        <w:rPr>
          <w:color w:val="0E101A"/>
        </w:rPr>
      </w:pPr>
      <w:r w:rsidRPr="00E02C33">
        <w:rPr>
          <w:color w:val="0E101A"/>
        </w:rPr>
        <w:t>Outcome, process, and structure measures are important factors that help institutions improve healthcare. Outcome measures are particularly helpful for research purposes and help in the formation of hypotheses. The relation between the variables under measurement helps officials to conduct investigations and determine avenues for improvement. On the other hand, process indicators are suitable for triggering changes in management. Balance measures should equally be embraced to ensure the inputs do not affect the outcomes negatively. </w:t>
      </w:r>
    </w:p>
    <w:p w14:paraId="002A69E0" w14:textId="3A91C07E" w:rsidR="00472C7C" w:rsidRPr="00E02C33" w:rsidRDefault="00472C7C" w:rsidP="00E02C33">
      <w:pPr>
        <w:spacing w:line="480" w:lineRule="auto"/>
        <w:rPr>
          <w:rFonts w:ascii="Times New Roman" w:hAnsi="Times New Roman" w:cs="Times New Roman"/>
          <w:sz w:val="24"/>
          <w:szCs w:val="24"/>
          <w:lang w:val="en-US"/>
        </w:rPr>
      </w:pPr>
    </w:p>
    <w:p w14:paraId="04927F70" w14:textId="032FA11E" w:rsidR="00D63D4C" w:rsidRPr="00E02C33" w:rsidRDefault="00D63D4C" w:rsidP="00E02C33">
      <w:pPr>
        <w:spacing w:line="480" w:lineRule="auto"/>
        <w:rPr>
          <w:rFonts w:ascii="Times New Roman" w:hAnsi="Times New Roman" w:cs="Times New Roman"/>
          <w:sz w:val="24"/>
          <w:szCs w:val="24"/>
          <w:lang w:val="en-US"/>
        </w:rPr>
      </w:pPr>
    </w:p>
    <w:p w14:paraId="55449C91" w14:textId="44374803" w:rsidR="00D63D4C" w:rsidRPr="00E02C33" w:rsidRDefault="00D63D4C" w:rsidP="00E02C33">
      <w:pPr>
        <w:spacing w:line="480" w:lineRule="auto"/>
        <w:rPr>
          <w:rFonts w:ascii="Times New Roman" w:hAnsi="Times New Roman" w:cs="Times New Roman"/>
          <w:sz w:val="24"/>
          <w:szCs w:val="24"/>
          <w:lang w:val="en-US"/>
        </w:rPr>
      </w:pPr>
    </w:p>
    <w:p w14:paraId="17D263B3" w14:textId="7D477DE0" w:rsidR="00D63D4C" w:rsidRPr="00E02C33" w:rsidRDefault="00D63D4C" w:rsidP="00E02C33">
      <w:pPr>
        <w:spacing w:line="480" w:lineRule="auto"/>
        <w:rPr>
          <w:rFonts w:ascii="Times New Roman" w:hAnsi="Times New Roman" w:cs="Times New Roman"/>
          <w:sz w:val="24"/>
          <w:szCs w:val="24"/>
          <w:lang w:val="en-US"/>
        </w:rPr>
      </w:pPr>
    </w:p>
    <w:p w14:paraId="3AB4EEE4" w14:textId="4A3D65B0" w:rsidR="00D63D4C" w:rsidRPr="00E02C33" w:rsidRDefault="00D63D4C" w:rsidP="00E02C33">
      <w:pPr>
        <w:spacing w:line="480" w:lineRule="auto"/>
        <w:rPr>
          <w:rFonts w:ascii="Times New Roman" w:hAnsi="Times New Roman" w:cs="Times New Roman"/>
          <w:sz w:val="24"/>
          <w:szCs w:val="24"/>
          <w:lang w:val="en-US"/>
        </w:rPr>
      </w:pPr>
    </w:p>
    <w:p w14:paraId="3072E801" w14:textId="433B4AC0" w:rsidR="00D63D4C" w:rsidRPr="00E02C33" w:rsidRDefault="00D63D4C" w:rsidP="00E02C33">
      <w:pPr>
        <w:spacing w:line="480" w:lineRule="auto"/>
        <w:rPr>
          <w:rFonts w:ascii="Times New Roman" w:hAnsi="Times New Roman" w:cs="Times New Roman"/>
          <w:sz w:val="24"/>
          <w:szCs w:val="24"/>
          <w:lang w:val="en-US"/>
        </w:rPr>
      </w:pPr>
    </w:p>
    <w:p w14:paraId="54AF802A" w14:textId="6BD4B1FB" w:rsidR="00D63D4C" w:rsidRPr="00E02C33" w:rsidRDefault="00D63D4C" w:rsidP="00E02C33">
      <w:pPr>
        <w:spacing w:line="480" w:lineRule="auto"/>
        <w:rPr>
          <w:rFonts w:ascii="Times New Roman" w:hAnsi="Times New Roman" w:cs="Times New Roman"/>
          <w:sz w:val="24"/>
          <w:szCs w:val="24"/>
          <w:lang w:val="en-US"/>
        </w:rPr>
      </w:pPr>
    </w:p>
    <w:p w14:paraId="59BCEB82" w14:textId="3FA3C7D9" w:rsidR="00D63D4C" w:rsidRPr="00E02C33" w:rsidRDefault="00D63D4C" w:rsidP="00E02C33">
      <w:pPr>
        <w:spacing w:line="480" w:lineRule="auto"/>
        <w:rPr>
          <w:rFonts w:ascii="Times New Roman" w:hAnsi="Times New Roman" w:cs="Times New Roman"/>
          <w:sz w:val="24"/>
          <w:szCs w:val="24"/>
          <w:lang w:val="en-US"/>
        </w:rPr>
      </w:pPr>
    </w:p>
    <w:p w14:paraId="09369FB6" w14:textId="0F99AE5C" w:rsidR="00D63D4C" w:rsidRPr="00E02C33" w:rsidRDefault="00D63D4C" w:rsidP="00E02C33">
      <w:pPr>
        <w:spacing w:line="480" w:lineRule="auto"/>
        <w:rPr>
          <w:rFonts w:ascii="Times New Roman" w:hAnsi="Times New Roman" w:cs="Times New Roman"/>
          <w:sz w:val="24"/>
          <w:szCs w:val="24"/>
          <w:lang w:val="en-US"/>
        </w:rPr>
      </w:pPr>
    </w:p>
    <w:p w14:paraId="15C2BD77" w14:textId="6AEB40FD" w:rsidR="00D63D4C" w:rsidRPr="00E02C33" w:rsidRDefault="00D63D4C" w:rsidP="00E02C33">
      <w:pPr>
        <w:spacing w:line="480" w:lineRule="auto"/>
        <w:rPr>
          <w:rFonts w:ascii="Times New Roman" w:hAnsi="Times New Roman" w:cs="Times New Roman"/>
          <w:sz w:val="24"/>
          <w:szCs w:val="24"/>
          <w:lang w:val="en-US"/>
        </w:rPr>
      </w:pPr>
    </w:p>
    <w:p w14:paraId="5E29240B" w14:textId="6B5896D4" w:rsidR="00D63D4C" w:rsidRPr="00E02C33" w:rsidRDefault="00D63D4C" w:rsidP="00E02C33">
      <w:pPr>
        <w:spacing w:line="480" w:lineRule="auto"/>
        <w:rPr>
          <w:rFonts w:ascii="Times New Roman" w:hAnsi="Times New Roman" w:cs="Times New Roman"/>
          <w:sz w:val="24"/>
          <w:szCs w:val="24"/>
          <w:lang w:val="en-US"/>
        </w:rPr>
      </w:pPr>
    </w:p>
    <w:p w14:paraId="409F453E" w14:textId="393029AD" w:rsidR="00D63D4C" w:rsidRPr="00E02C33" w:rsidRDefault="00D63D4C" w:rsidP="00E02C33">
      <w:pPr>
        <w:spacing w:line="480" w:lineRule="auto"/>
        <w:rPr>
          <w:rFonts w:ascii="Times New Roman" w:hAnsi="Times New Roman" w:cs="Times New Roman"/>
          <w:sz w:val="24"/>
          <w:szCs w:val="24"/>
          <w:lang w:val="en-US"/>
        </w:rPr>
      </w:pPr>
    </w:p>
    <w:p w14:paraId="07BB96A3" w14:textId="428E94F3" w:rsidR="00D63D4C" w:rsidRPr="00E02C33" w:rsidRDefault="00D63D4C" w:rsidP="00E02C33">
      <w:pPr>
        <w:spacing w:line="480" w:lineRule="auto"/>
        <w:rPr>
          <w:rFonts w:ascii="Times New Roman" w:hAnsi="Times New Roman" w:cs="Times New Roman"/>
          <w:sz w:val="24"/>
          <w:szCs w:val="24"/>
          <w:lang w:val="en-US"/>
        </w:rPr>
      </w:pPr>
    </w:p>
    <w:p w14:paraId="72F50EC8" w14:textId="3E450D10" w:rsidR="00D63D4C" w:rsidRPr="00E02C33" w:rsidRDefault="00D63D4C" w:rsidP="00E02C33">
      <w:pPr>
        <w:spacing w:line="480" w:lineRule="auto"/>
        <w:rPr>
          <w:rFonts w:ascii="Times New Roman" w:hAnsi="Times New Roman" w:cs="Times New Roman"/>
          <w:sz w:val="24"/>
          <w:szCs w:val="24"/>
          <w:lang w:val="en-US"/>
        </w:rPr>
      </w:pPr>
    </w:p>
    <w:p w14:paraId="7A12E2C5" w14:textId="4192961A" w:rsidR="00D63D4C" w:rsidRPr="00E02C33" w:rsidRDefault="00D63D4C" w:rsidP="00E02C33">
      <w:pPr>
        <w:spacing w:line="480" w:lineRule="auto"/>
        <w:rPr>
          <w:rFonts w:ascii="Times New Roman" w:hAnsi="Times New Roman" w:cs="Times New Roman"/>
          <w:sz w:val="24"/>
          <w:szCs w:val="24"/>
          <w:lang w:val="en-US"/>
        </w:rPr>
      </w:pPr>
    </w:p>
    <w:p w14:paraId="2F954B13" w14:textId="568760A5" w:rsidR="00D63D4C" w:rsidRPr="00E02C33" w:rsidRDefault="00D63D4C" w:rsidP="00E02C33">
      <w:pPr>
        <w:spacing w:line="480" w:lineRule="auto"/>
        <w:jc w:val="center"/>
        <w:rPr>
          <w:rFonts w:ascii="Times New Roman" w:hAnsi="Times New Roman" w:cs="Times New Roman"/>
          <w:sz w:val="24"/>
          <w:szCs w:val="24"/>
          <w:lang w:val="en-US"/>
        </w:rPr>
      </w:pPr>
      <w:r w:rsidRPr="00E02C33">
        <w:rPr>
          <w:rFonts w:ascii="Times New Roman" w:hAnsi="Times New Roman" w:cs="Times New Roman"/>
          <w:sz w:val="24"/>
          <w:szCs w:val="24"/>
          <w:lang w:val="en-US"/>
        </w:rPr>
        <w:t>References</w:t>
      </w:r>
    </w:p>
    <w:p w14:paraId="077798AC" w14:textId="77777777" w:rsidR="003220D3" w:rsidRPr="00E02C33" w:rsidRDefault="003220D3" w:rsidP="00E02C33">
      <w:pPr>
        <w:spacing w:line="480" w:lineRule="auto"/>
        <w:ind w:left="720" w:hanging="720"/>
        <w:rPr>
          <w:rFonts w:ascii="Times New Roman" w:hAnsi="Times New Roman" w:cs="Times New Roman"/>
          <w:sz w:val="24"/>
          <w:szCs w:val="24"/>
          <w:lang w:val="en-US"/>
        </w:rPr>
      </w:pPr>
      <w:r w:rsidRPr="00E02C33">
        <w:rPr>
          <w:rFonts w:ascii="Times New Roman" w:hAnsi="Times New Roman" w:cs="Times New Roman"/>
          <w:sz w:val="24"/>
          <w:szCs w:val="24"/>
          <w:lang w:val="en-US"/>
        </w:rPr>
        <w:t xml:space="preserve">Ibn El Haj, H., </w:t>
      </w:r>
      <w:proofErr w:type="spellStart"/>
      <w:r w:rsidRPr="00E02C33">
        <w:rPr>
          <w:rFonts w:ascii="Times New Roman" w:hAnsi="Times New Roman" w:cs="Times New Roman"/>
          <w:sz w:val="24"/>
          <w:szCs w:val="24"/>
          <w:lang w:val="en-US"/>
        </w:rPr>
        <w:t>Lamrini</w:t>
      </w:r>
      <w:proofErr w:type="spellEnd"/>
      <w:r w:rsidRPr="00E02C33">
        <w:rPr>
          <w:rFonts w:ascii="Times New Roman" w:hAnsi="Times New Roman" w:cs="Times New Roman"/>
          <w:sz w:val="24"/>
          <w:szCs w:val="24"/>
          <w:lang w:val="en-US"/>
        </w:rPr>
        <w:t xml:space="preserve">, M., &amp; </w:t>
      </w:r>
      <w:proofErr w:type="spellStart"/>
      <w:r w:rsidRPr="00E02C33">
        <w:rPr>
          <w:rFonts w:ascii="Times New Roman" w:hAnsi="Times New Roman" w:cs="Times New Roman"/>
          <w:sz w:val="24"/>
          <w:szCs w:val="24"/>
          <w:lang w:val="en-US"/>
        </w:rPr>
        <w:t>Rais</w:t>
      </w:r>
      <w:proofErr w:type="spellEnd"/>
      <w:r w:rsidRPr="00E02C33">
        <w:rPr>
          <w:rFonts w:ascii="Times New Roman" w:hAnsi="Times New Roman" w:cs="Times New Roman"/>
          <w:sz w:val="24"/>
          <w:szCs w:val="24"/>
          <w:lang w:val="en-US"/>
        </w:rPr>
        <w:t>, N. (2013). Quality of care between Donabedian model and ISO9001V2008. International Journal for Quality Research, 7(1).</w:t>
      </w:r>
    </w:p>
    <w:p w14:paraId="1228BE2D" w14:textId="77777777" w:rsidR="003220D3" w:rsidRPr="00E02C33" w:rsidRDefault="003220D3" w:rsidP="00E02C33">
      <w:pPr>
        <w:spacing w:line="480" w:lineRule="auto"/>
        <w:ind w:left="720" w:hanging="720"/>
        <w:rPr>
          <w:rFonts w:ascii="Times New Roman" w:hAnsi="Times New Roman" w:cs="Times New Roman"/>
          <w:sz w:val="24"/>
          <w:szCs w:val="24"/>
          <w:lang w:val="en-US"/>
        </w:rPr>
      </w:pPr>
      <w:proofErr w:type="spellStart"/>
      <w:r w:rsidRPr="00E02C33">
        <w:rPr>
          <w:rFonts w:ascii="Times New Roman" w:hAnsi="Times New Roman" w:cs="Times New Roman"/>
          <w:sz w:val="24"/>
          <w:szCs w:val="24"/>
          <w:lang w:val="en-US"/>
        </w:rPr>
        <w:t>Lilford</w:t>
      </w:r>
      <w:proofErr w:type="spellEnd"/>
      <w:r w:rsidRPr="00E02C33">
        <w:rPr>
          <w:rFonts w:ascii="Times New Roman" w:hAnsi="Times New Roman" w:cs="Times New Roman"/>
          <w:sz w:val="24"/>
          <w:szCs w:val="24"/>
          <w:lang w:val="en-US"/>
        </w:rPr>
        <w:t xml:space="preserve">, R. J., Brown, C. A., &amp; Nicholl, J. (2007). Use of process measures to monitor the quality of clinical practice. BMJ (Clinical research ed.), 335(7621), 648–650. </w:t>
      </w:r>
      <w:hyperlink r:id="rId6" w:history="1">
        <w:r w:rsidRPr="00E02C33">
          <w:rPr>
            <w:rStyle w:val="Hyperlink"/>
            <w:rFonts w:ascii="Times New Roman" w:hAnsi="Times New Roman" w:cs="Times New Roman"/>
            <w:sz w:val="24"/>
            <w:szCs w:val="24"/>
            <w:lang w:val="en-US"/>
          </w:rPr>
          <w:t>https://doi.org/10.1136/bmj.39317.641296.AD</w:t>
        </w:r>
      </w:hyperlink>
    </w:p>
    <w:p w14:paraId="401486F6" w14:textId="77777777" w:rsidR="003220D3" w:rsidRPr="00E02C33" w:rsidRDefault="003220D3" w:rsidP="00E02C33">
      <w:pPr>
        <w:spacing w:line="480" w:lineRule="auto"/>
        <w:ind w:left="720" w:hanging="720"/>
        <w:rPr>
          <w:rFonts w:ascii="Times New Roman" w:hAnsi="Times New Roman" w:cs="Times New Roman"/>
          <w:sz w:val="24"/>
          <w:szCs w:val="24"/>
        </w:rPr>
      </w:pPr>
      <w:r w:rsidRPr="00E02C33">
        <w:rPr>
          <w:rFonts w:ascii="Times New Roman" w:hAnsi="Times New Roman" w:cs="Times New Roman"/>
          <w:sz w:val="24"/>
          <w:szCs w:val="24"/>
          <w:lang w:val="en-US"/>
        </w:rPr>
        <w:lastRenderedPageBreak/>
        <w:t xml:space="preserve">Tinker A., (2018, Oct 30). The Top Seven Healthcare Outcome Measures and Three Measurement Essentials. </w:t>
      </w:r>
      <w:proofErr w:type="spellStart"/>
      <w:r w:rsidRPr="00E02C33">
        <w:rPr>
          <w:rFonts w:ascii="Times New Roman" w:hAnsi="Times New Roman" w:cs="Times New Roman"/>
          <w:i/>
          <w:iCs/>
          <w:sz w:val="24"/>
          <w:szCs w:val="24"/>
          <w:lang w:val="en-US"/>
        </w:rPr>
        <w:t>HealthCatalyst</w:t>
      </w:r>
      <w:proofErr w:type="spellEnd"/>
      <w:r w:rsidRPr="00E02C33">
        <w:rPr>
          <w:rFonts w:ascii="Times New Roman" w:hAnsi="Times New Roman" w:cs="Times New Roman"/>
          <w:sz w:val="24"/>
          <w:szCs w:val="24"/>
          <w:lang w:val="en-US"/>
        </w:rPr>
        <w:t xml:space="preserve">. Retrieved on 31 March 2020, from </w:t>
      </w:r>
      <w:hyperlink r:id="rId7" w:history="1">
        <w:r w:rsidRPr="00E02C33">
          <w:rPr>
            <w:rStyle w:val="Hyperlink"/>
            <w:rFonts w:ascii="Times New Roman" w:hAnsi="Times New Roman" w:cs="Times New Roman"/>
            <w:sz w:val="24"/>
            <w:szCs w:val="24"/>
          </w:rPr>
          <w:t>https://www.healthcatalyst.com/insights/top-7-healthcare-outcome-measures</w:t>
        </w:r>
      </w:hyperlink>
    </w:p>
    <w:sectPr w:rsidR="003220D3" w:rsidRPr="00E02C33" w:rsidSect="00D92444">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65E717" w14:textId="77777777" w:rsidR="006A1361" w:rsidRDefault="006A1361" w:rsidP="005E5E23">
      <w:pPr>
        <w:spacing w:after="0" w:line="240" w:lineRule="auto"/>
      </w:pPr>
      <w:r>
        <w:separator/>
      </w:r>
    </w:p>
  </w:endnote>
  <w:endnote w:type="continuationSeparator" w:id="0">
    <w:p w14:paraId="12FB2BB0" w14:textId="77777777" w:rsidR="006A1361" w:rsidRDefault="006A1361" w:rsidP="005E5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EDCB3" w14:textId="77777777" w:rsidR="006A1361" w:rsidRDefault="006A1361" w:rsidP="005E5E23">
      <w:pPr>
        <w:spacing w:after="0" w:line="240" w:lineRule="auto"/>
      </w:pPr>
      <w:r>
        <w:separator/>
      </w:r>
    </w:p>
  </w:footnote>
  <w:footnote w:type="continuationSeparator" w:id="0">
    <w:p w14:paraId="0FF4A346" w14:textId="77777777" w:rsidR="006A1361" w:rsidRDefault="006A1361" w:rsidP="005E5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8D3AA" w14:textId="7AAFCF03" w:rsidR="003220D3" w:rsidRPr="003220D3" w:rsidRDefault="003220D3">
    <w:pPr>
      <w:pStyle w:val="Header"/>
      <w:jc w:val="right"/>
      <w:rPr>
        <w:rFonts w:ascii="Times New Roman" w:hAnsi="Times New Roman" w:cs="Times New Roman"/>
        <w:sz w:val="24"/>
        <w:szCs w:val="24"/>
      </w:rPr>
    </w:pPr>
    <w:r w:rsidRPr="003220D3">
      <w:rPr>
        <w:rFonts w:ascii="Times New Roman" w:hAnsi="Times New Roman" w:cs="Times New Roman"/>
        <w:sz w:val="24"/>
        <w:szCs w:val="24"/>
      </w:rPr>
      <w:t xml:space="preserve">QI MEASURES IN HEALTHCARE </w:t>
    </w:r>
    <w:r>
      <w:rPr>
        <w:rFonts w:ascii="Times New Roman" w:hAnsi="Times New Roman" w:cs="Times New Roman"/>
        <w:sz w:val="24"/>
        <w:szCs w:val="24"/>
      </w:rPr>
      <w:t xml:space="preserve">                                                                                       </w:t>
    </w:r>
    <w:sdt>
      <w:sdtPr>
        <w:rPr>
          <w:rFonts w:ascii="Times New Roman" w:hAnsi="Times New Roman" w:cs="Times New Roman"/>
          <w:sz w:val="24"/>
          <w:szCs w:val="24"/>
        </w:rPr>
        <w:id w:val="-2142718706"/>
        <w:docPartObj>
          <w:docPartGallery w:val="Page Numbers (Top of Page)"/>
          <w:docPartUnique/>
        </w:docPartObj>
      </w:sdtPr>
      <w:sdtEndPr>
        <w:rPr>
          <w:noProof/>
        </w:rPr>
      </w:sdtEndPr>
      <w:sdtContent>
        <w:r w:rsidRPr="003220D3">
          <w:rPr>
            <w:rFonts w:ascii="Times New Roman" w:hAnsi="Times New Roman" w:cs="Times New Roman"/>
            <w:sz w:val="24"/>
            <w:szCs w:val="24"/>
          </w:rPr>
          <w:fldChar w:fldCharType="begin"/>
        </w:r>
        <w:r w:rsidRPr="003220D3">
          <w:rPr>
            <w:rFonts w:ascii="Times New Roman" w:hAnsi="Times New Roman" w:cs="Times New Roman"/>
            <w:sz w:val="24"/>
            <w:szCs w:val="24"/>
          </w:rPr>
          <w:instrText xml:space="preserve"> PAGE   \* MERGEFORMAT </w:instrText>
        </w:r>
        <w:r w:rsidRPr="003220D3">
          <w:rPr>
            <w:rFonts w:ascii="Times New Roman" w:hAnsi="Times New Roman" w:cs="Times New Roman"/>
            <w:sz w:val="24"/>
            <w:szCs w:val="24"/>
          </w:rPr>
          <w:fldChar w:fldCharType="separate"/>
        </w:r>
        <w:r w:rsidRPr="003220D3">
          <w:rPr>
            <w:rFonts w:ascii="Times New Roman" w:hAnsi="Times New Roman" w:cs="Times New Roman"/>
            <w:noProof/>
            <w:sz w:val="24"/>
            <w:szCs w:val="24"/>
          </w:rPr>
          <w:t>2</w:t>
        </w:r>
        <w:r w:rsidRPr="003220D3">
          <w:rPr>
            <w:rFonts w:ascii="Times New Roman" w:hAnsi="Times New Roman" w:cs="Times New Roman"/>
            <w:noProof/>
            <w:sz w:val="24"/>
            <w:szCs w:val="24"/>
          </w:rPr>
          <w:fldChar w:fldCharType="end"/>
        </w:r>
      </w:sdtContent>
    </w:sdt>
  </w:p>
  <w:p w14:paraId="32BF7B92" w14:textId="77777777" w:rsidR="003220D3" w:rsidRDefault="003220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EF094" w14:textId="672AA7E2" w:rsidR="00D92444" w:rsidRPr="00D92444" w:rsidRDefault="00D92444">
    <w:pPr>
      <w:pStyle w:val="Header"/>
      <w:jc w:val="right"/>
      <w:rPr>
        <w:rFonts w:ascii="Times New Roman" w:hAnsi="Times New Roman" w:cs="Times New Roman"/>
        <w:sz w:val="24"/>
        <w:szCs w:val="24"/>
      </w:rPr>
    </w:pPr>
    <w:r w:rsidRPr="00D92444">
      <w:rPr>
        <w:rFonts w:ascii="Times New Roman" w:hAnsi="Times New Roman" w:cs="Times New Roman"/>
        <w:sz w:val="24"/>
        <w:szCs w:val="24"/>
      </w:rPr>
      <w:t>Running head: QI MEASURES IN HEALTHCARE</w:t>
    </w:r>
    <w:r>
      <w:rPr>
        <w:rFonts w:ascii="Times New Roman" w:hAnsi="Times New Roman" w:cs="Times New Roman"/>
        <w:sz w:val="24"/>
        <w:szCs w:val="24"/>
      </w:rPr>
      <w:t xml:space="preserve">                                                                </w:t>
    </w:r>
    <w:sdt>
      <w:sdtPr>
        <w:rPr>
          <w:rFonts w:ascii="Times New Roman" w:hAnsi="Times New Roman" w:cs="Times New Roman"/>
          <w:sz w:val="24"/>
          <w:szCs w:val="24"/>
        </w:rPr>
        <w:id w:val="972948996"/>
        <w:docPartObj>
          <w:docPartGallery w:val="Page Numbers (Top of Page)"/>
          <w:docPartUnique/>
        </w:docPartObj>
      </w:sdtPr>
      <w:sdtEndPr>
        <w:rPr>
          <w:noProof/>
        </w:rPr>
      </w:sdtEndPr>
      <w:sdtContent>
        <w:r w:rsidRPr="00D92444">
          <w:rPr>
            <w:rFonts w:ascii="Times New Roman" w:hAnsi="Times New Roman" w:cs="Times New Roman"/>
            <w:sz w:val="24"/>
            <w:szCs w:val="24"/>
          </w:rPr>
          <w:fldChar w:fldCharType="begin"/>
        </w:r>
        <w:r w:rsidRPr="00D92444">
          <w:rPr>
            <w:rFonts w:ascii="Times New Roman" w:hAnsi="Times New Roman" w:cs="Times New Roman"/>
            <w:sz w:val="24"/>
            <w:szCs w:val="24"/>
          </w:rPr>
          <w:instrText xml:space="preserve"> PAGE   \* MERGEFORMAT </w:instrText>
        </w:r>
        <w:r w:rsidRPr="00D92444">
          <w:rPr>
            <w:rFonts w:ascii="Times New Roman" w:hAnsi="Times New Roman" w:cs="Times New Roman"/>
            <w:sz w:val="24"/>
            <w:szCs w:val="24"/>
          </w:rPr>
          <w:fldChar w:fldCharType="separate"/>
        </w:r>
        <w:r w:rsidRPr="00D92444">
          <w:rPr>
            <w:rFonts w:ascii="Times New Roman" w:hAnsi="Times New Roman" w:cs="Times New Roman"/>
            <w:noProof/>
            <w:sz w:val="24"/>
            <w:szCs w:val="24"/>
          </w:rPr>
          <w:t>2</w:t>
        </w:r>
        <w:r w:rsidRPr="00D92444">
          <w:rPr>
            <w:rFonts w:ascii="Times New Roman" w:hAnsi="Times New Roman" w:cs="Times New Roman"/>
            <w:noProof/>
            <w:sz w:val="24"/>
            <w:szCs w:val="24"/>
          </w:rPr>
          <w:fldChar w:fldCharType="end"/>
        </w:r>
      </w:sdtContent>
    </w:sdt>
  </w:p>
  <w:p w14:paraId="5DC1C205" w14:textId="77777777" w:rsidR="00D92444" w:rsidRDefault="00D92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sTQzMTQzsDS2MDFV0lEKTi0uzszPAykwrAUArIEfWiwAAAA="/>
  </w:docVars>
  <w:rsids>
    <w:rsidRoot w:val="001A3DDE"/>
    <w:rsid w:val="000036EE"/>
    <w:rsid w:val="00031A3D"/>
    <w:rsid w:val="000664BF"/>
    <w:rsid w:val="000B4A24"/>
    <w:rsid w:val="000B6D3F"/>
    <w:rsid w:val="000E5C4A"/>
    <w:rsid w:val="0010011B"/>
    <w:rsid w:val="00110891"/>
    <w:rsid w:val="0012596A"/>
    <w:rsid w:val="00126E94"/>
    <w:rsid w:val="0014752A"/>
    <w:rsid w:val="00157529"/>
    <w:rsid w:val="001626A0"/>
    <w:rsid w:val="001827E4"/>
    <w:rsid w:val="001A3DDE"/>
    <w:rsid w:val="001B3CB0"/>
    <w:rsid w:val="001B3DC6"/>
    <w:rsid w:val="001C2EB1"/>
    <w:rsid w:val="001C5ED3"/>
    <w:rsid w:val="0027629D"/>
    <w:rsid w:val="002E38DC"/>
    <w:rsid w:val="002F0568"/>
    <w:rsid w:val="003220D3"/>
    <w:rsid w:val="003249BA"/>
    <w:rsid w:val="00340DF5"/>
    <w:rsid w:val="0035161D"/>
    <w:rsid w:val="00374042"/>
    <w:rsid w:val="003960A2"/>
    <w:rsid w:val="003A23DA"/>
    <w:rsid w:val="003A69D4"/>
    <w:rsid w:val="003A6BF9"/>
    <w:rsid w:val="003B54D7"/>
    <w:rsid w:val="004050F0"/>
    <w:rsid w:val="004548CA"/>
    <w:rsid w:val="00471636"/>
    <w:rsid w:val="00472C7C"/>
    <w:rsid w:val="004952FB"/>
    <w:rsid w:val="004B2720"/>
    <w:rsid w:val="004D088D"/>
    <w:rsid w:val="00527F04"/>
    <w:rsid w:val="00553206"/>
    <w:rsid w:val="005C418E"/>
    <w:rsid w:val="005D2B9C"/>
    <w:rsid w:val="005E5E23"/>
    <w:rsid w:val="005F32F3"/>
    <w:rsid w:val="006016E1"/>
    <w:rsid w:val="0061243F"/>
    <w:rsid w:val="00627D95"/>
    <w:rsid w:val="006819DE"/>
    <w:rsid w:val="0068468C"/>
    <w:rsid w:val="00692B17"/>
    <w:rsid w:val="006A1361"/>
    <w:rsid w:val="006B6DBC"/>
    <w:rsid w:val="006D7546"/>
    <w:rsid w:val="007029E2"/>
    <w:rsid w:val="00791154"/>
    <w:rsid w:val="007932A6"/>
    <w:rsid w:val="007942F8"/>
    <w:rsid w:val="007B71B7"/>
    <w:rsid w:val="007D1A0A"/>
    <w:rsid w:val="00823365"/>
    <w:rsid w:val="00845CA5"/>
    <w:rsid w:val="00854A9F"/>
    <w:rsid w:val="00894D52"/>
    <w:rsid w:val="008A6EFF"/>
    <w:rsid w:val="008C3211"/>
    <w:rsid w:val="008C5FCE"/>
    <w:rsid w:val="00946D32"/>
    <w:rsid w:val="00961449"/>
    <w:rsid w:val="00967314"/>
    <w:rsid w:val="009B4AF1"/>
    <w:rsid w:val="009D4D44"/>
    <w:rsid w:val="009D6BC0"/>
    <w:rsid w:val="009F5473"/>
    <w:rsid w:val="00A10D91"/>
    <w:rsid w:val="00A20681"/>
    <w:rsid w:val="00A66FA9"/>
    <w:rsid w:val="00AA6AAB"/>
    <w:rsid w:val="00AD0E1F"/>
    <w:rsid w:val="00AE27D3"/>
    <w:rsid w:val="00B01DD7"/>
    <w:rsid w:val="00B276E5"/>
    <w:rsid w:val="00B514CF"/>
    <w:rsid w:val="00B5475D"/>
    <w:rsid w:val="00B82496"/>
    <w:rsid w:val="00BA7871"/>
    <w:rsid w:val="00BC37F5"/>
    <w:rsid w:val="00BC7067"/>
    <w:rsid w:val="00BD469A"/>
    <w:rsid w:val="00BF08FB"/>
    <w:rsid w:val="00C0133E"/>
    <w:rsid w:val="00C020D6"/>
    <w:rsid w:val="00C03900"/>
    <w:rsid w:val="00C22683"/>
    <w:rsid w:val="00C8520C"/>
    <w:rsid w:val="00CA2912"/>
    <w:rsid w:val="00CA7D61"/>
    <w:rsid w:val="00D1604A"/>
    <w:rsid w:val="00D30E14"/>
    <w:rsid w:val="00D63D4C"/>
    <w:rsid w:val="00D64343"/>
    <w:rsid w:val="00D70833"/>
    <w:rsid w:val="00D92444"/>
    <w:rsid w:val="00D926EE"/>
    <w:rsid w:val="00DA0C61"/>
    <w:rsid w:val="00DD5C89"/>
    <w:rsid w:val="00DF2F90"/>
    <w:rsid w:val="00E02C33"/>
    <w:rsid w:val="00E107A1"/>
    <w:rsid w:val="00E23375"/>
    <w:rsid w:val="00E70D0F"/>
    <w:rsid w:val="00E7304B"/>
    <w:rsid w:val="00F16B5B"/>
    <w:rsid w:val="00F2370A"/>
    <w:rsid w:val="00F47AFE"/>
    <w:rsid w:val="00F63725"/>
    <w:rsid w:val="00F8007C"/>
    <w:rsid w:val="00F82E3F"/>
    <w:rsid w:val="00FF1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83121"/>
  <w15:chartTrackingRefBased/>
  <w15:docId w15:val="{D80646FE-CA4A-466C-9357-AC11295F5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681"/>
    <w:pPr>
      <w:ind w:left="720"/>
      <w:contextualSpacing/>
    </w:pPr>
  </w:style>
  <w:style w:type="character" w:styleId="Hyperlink">
    <w:name w:val="Hyperlink"/>
    <w:basedOn w:val="DefaultParagraphFont"/>
    <w:uiPriority w:val="99"/>
    <w:unhideWhenUsed/>
    <w:rsid w:val="00CA7D61"/>
    <w:rPr>
      <w:color w:val="0000FF"/>
      <w:u w:val="single"/>
    </w:rPr>
  </w:style>
  <w:style w:type="paragraph" w:styleId="Header">
    <w:name w:val="header"/>
    <w:basedOn w:val="Normal"/>
    <w:link w:val="HeaderChar"/>
    <w:uiPriority w:val="99"/>
    <w:unhideWhenUsed/>
    <w:rsid w:val="005E5E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5E23"/>
  </w:style>
  <w:style w:type="paragraph" w:styleId="Footer">
    <w:name w:val="footer"/>
    <w:basedOn w:val="Normal"/>
    <w:link w:val="FooterChar"/>
    <w:uiPriority w:val="99"/>
    <w:unhideWhenUsed/>
    <w:rsid w:val="005E5E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5E23"/>
  </w:style>
  <w:style w:type="character" w:styleId="UnresolvedMention">
    <w:name w:val="Unresolved Mention"/>
    <w:basedOn w:val="DefaultParagraphFont"/>
    <w:uiPriority w:val="99"/>
    <w:semiHidden/>
    <w:unhideWhenUsed/>
    <w:rsid w:val="003220D3"/>
    <w:rPr>
      <w:color w:val="605E5C"/>
      <w:shd w:val="clear" w:color="auto" w:fill="E1DFDD"/>
    </w:rPr>
  </w:style>
  <w:style w:type="paragraph" w:styleId="NormalWeb">
    <w:name w:val="Normal (Web)"/>
    <w:basedOn w:val="Normal"/>
    <w:uiPriority w:val="99"/>
    <w:semiHidden/>
    <w:unhideWhenUsed/>
    <w:rsid w:val="00E02C33"/>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E02C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397403">
      <w:bodyDiv w:val="1"/>
      <w:marLeft w:val="0"/>
      <w:marRight w:val="0"/>
      <w:marTop w:val="0"/>
      <w:marBottom w:val="0"/>
      <w:divBdr>
        <w:top w:val="none" w:sz="0" w:space="0" w:color="auto"/>
        <w:left w:val="none" w:sz="0" w:space="0" w:color="auto"/>
        <w:bottom w:val="none" w:sz="0" w:space="0" w:color="auto"/>
        <w:right w:val="none" w:sz="0" w:space="0" w:color="auto"/>
      </w:divBdr>
    </w:div>
    <w:div w:id="210429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ealthcatalyst.com/insights/top-7-healthcare-outcome-measur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36/bmj.39317.641296.A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7</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Muturi</cp:lastModifiedBy>
  <cp:revision>117</cp:revision>
  <dcterms:created xsi:type="dcterms:W3CDTF">2020-03-31T17:28:00Z</dcterms:created>
  <dcterms:modified xsi:type="dcterms:W3CDTF">2020-03-31T21:57:00Z</dcterms:modified>
</cp:coreProperties>
</file>